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E" w:rsidRDefault="0000626A" w:rsidP="00AE518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5932435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eb9MONQ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26A" w:rsidRDefault="0000626A" w:rsidP="00AE518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63B29" w:rsidRDefault="00AE518E" w:rsidP="00AE518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E518E">
        <w:rPr>
          <w:rFonts w:ascii="Times New Roman" w:hAnsi="Times New Roman" w:cs="Times New Roman"/>
          <w:b/>
          <w:sz w:val="96"/>
          <w:szCs w:val="96"/>
        </w:rPr>
        <w:t>Вместе против коррупции</w:t>
      </w:r>
    </w:p>
    <w:p w:rsidR="00AE518E" w:rsidRPr="00F63B29" w:rsidRDefault="00AE518E" w:rsidP="00AE5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B29">
        <w:rPr>
          <w:rFonts w:ascii="Times New Roman" w:hAnsi="Times New Roman" w:cs="Times New Roman"/>
          <w:b/>
          <w:sz w:val="36"/>
          <w:szCs w:val="36"/>
        </w:rPr>
        <w:t>Памятка гражданину</w:t>
      </w:r>
    </w:p>
    <w:p w:rsidR="00AE518E" w:rsidRPr="0000626A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626A">
        <w:rPr>
          <w:rFonts w:ascii="Times New Roman" w:hAnsi="Times New Roman" w:cs="Times New Roman"/>
          <w:b/>
          <w:sz w:val="32"/>
          <w:szCs w:val="32"/>
        </w:rPr>
        <w:t>Коррупция</w:t>
      </w:r>
      <w:r w:rsidRPr="0000626A">
        <w:rPr>
          <w:rFonts w:ascii="Times New Roman" w:hAnsi="Times New Roman" w:cs="Times New Roman"/>
          <w:sz w:val="32"/>
          <w:szCs w:val="32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0626A">
        <w:rPr>
          <w:rFonts w:ascii="Times New Roman" w:hAnsi="Times New Roman" w:cs="Times New Roman"/>
          <w:sz w:val="32"/>
          <w:szCs w:val="32"/>
        </w:rPr>
        <w:t>. Совершение, указанных деяний, от имени или в интересах юридического лица.</w:t>
      </w:r>
    </w:p>
    <w:p w:rsidR="0000626A" w:rsidRPr="00AE518E" w:rsidRDefault="0000626A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18E" w:rsidRPr="0000626A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26A">
        <w:rPr>
          <w:rFonts w:ascii="Times New Roman" w:hAnsi="Times New Roman" w:cs="Times New Roman"/>
          <w:b/>
          <w:sz w:val="32"/>
          <w:szCs w:val="32"/>
        </w:rPr>
        <w:lastRenderedPageBreak/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 коррупции);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Формы проявления коррупции весьма разнообразны и имеют различную оценку: одни действия считаются преступными (нарушение уголовных и иных норм права), другие всего лишь безнравственными (кумовство, покровительство на основе политической ориентации и т.д.).</w:t>
      </w:r>
      <w:r w:rsidRPr="00AE518E">
        <w:rPr>
          <w:rFonts w:ascii="Times New Roman" w:hAnsi="Times New Roman" w:cs="Times New Roman"/>
          <w:sz w:val="28"/>
          <w:szCs w:val="28"/>
        </w:rPr>
        <w:cr/>
        <w:t>Получение взятки (дача взятки) 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(ст. 290, 291 Уголовного кодекса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Посредничество во взяточничестве -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proofErr w:type="gramStart"/>
      <w:r w:rsidRPr="00AE5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1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18E">
        <w:rPr>
          <w:rFonts w:ascii="Times New Roman" w:hAnsi="Times New Roman" w:cs="Times New Roman"/>
          <w:sz w:val="28"/>
          <w:szCs w:val="28"/>
        </w:rPr>
        <w:t>т. 291.1 Уголовного кодекса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(ст. 204 Уголовного кодекса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 xml:space="preserve"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 w:rsidRPr="00AE518E">
        <w:rPr>
          <w:rFonts w:ascii="Times New Roman" w:hAnsi="Times New Roman" w:cs="Times New Roman"/>
          <w:sz w:val="28"/>
          <w:szCs w:val="28"/>
        </w:rPr>
        <w:lastRenderedPageBreak/>
        <w:t>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(ст. 19.28 КоАП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(ст. 285 Уголовного кодекса РФ)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Мошенничество, совершенное лицом с использованием своего служебного положения - хищение чужого имущества или приобретение права на чужое имущество путем обмана или злоупотребления доверием (ст. 159 Уголовного кодекса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Присвоение или растрата, совершенные лицом с использованием своего служебного положения - хищение чужого имущества вверенного виновному (ст. 160 Уголовного кодекса РФ).</w:t>
      </w:r>
    </w:p>
    <w:p w:rsidR="00AE518E" w:rsidRPr="00AE518E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Служебный подлог - 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(ст. 292 Уголовного кодекса РФ).</w:t>
      </w:r>
    </w:p>
    <w:p w:rsidR="00D17F13" w:rsidRDefault="00AE518E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8E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-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(ст. 289 Уголовного кодекса РФ).</w:t>
      </w:r>
    </w:p>
    <w:p w:rsidR="007E00D6" w:rsidRDefault="007E00D6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0D6" w:rsidRDefault="007E00D6" w:rsidP="007E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18E" w:rsidRPr="00AE518E" w:rsidRDefault="00AE518E" w:rsidP="00AE518E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15165" w:rsidRDefault="00515165" w:rsidP="00AE51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15165" w:rsidRPr="00515165" w:rsidRDefault="00515165" w:rsidP="0051516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ДЕЙСТВИЯ В СЛУЧАЕ ПРЕДЛОЖЕНИЯ </w:t>
      </w:r>
    </w:p>
    <w:p w:rsidR="00515165" w:rsidRPr="00515165" w:rsidRDefault="00515165" w:rsidP="0051516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>ИЛИ ВЫМОГАТЕЛЬСТВА ВЗЯТКИ</w:t>
      </w:r>
    </w:p>
    <w:p w:rsidR="00515165" w:rsidRPr="00AE518E" w:rsidRDefault="00515165" w:rsidP="0051516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15165" w:rsidRPr="00515165" w:rsidRDefault="00515165" w:rsidP="0000626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>♦ </w:t>
      </w:r>
      <w:r w:rsidRPr="00515165">
        <w:rPr>
          <w:rFonts w:ascii="Times New Roman" w:eastAsia="Arial Unicode MS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515165">
        <w:rPr>
          <w:rFonts w:ascii="Times New Roman" w:eastAsia="Arial Unicode MS" w:hAnsi="Times New Roman" w:cs="Times New Roman"/>
          <w:sz w:val="28"/>
          <w:szCs w:val="28"/>
        </w:rPr>
        <w:t>взятковымогателем</w:t>
      </w:r>
      <w:proofErr w:type="spellEnd"/>
      <w:r w:rsidRPr="00515165">
        <w:rPr>
          <w:rFonts w:ascii="Times New Roman" w:eastAsia="Arial Unicode MS" w:hAnsi="Times New Roman" w:cs="Times New Roman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515165" w:rsidRPr="00515165" w:rsidRDefault="00515165" w:rsidP="0000626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>♦ </w:t>
      </w:r>
      <w:r w:rsidRPr="00515165">
        <w:rPr>
          <w:rFonts w:ascii="Times New Roman" w:eastAsia="Arial Unicode MS" w:hAnsi="Times New Roman" w:cs="Times New Roman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15165" w:rsidRPr="00515165" w:rsidRDefault="00515165" w:rsidP="0000626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♦ </w:t>
      </w:r>
      <w:r w:rsidRPr="00515165">
        <w:rPr>
          <w:rFonts w:ascii="Times New Roman" w:eastAsia="Arial Unicode MS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515165" w:rsidRPr="00515165" w:rsidRDefault="00515165" w:rsidP="0000626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>♦ </w:t>
      </w:r>
      <w:r w:rsidRPr="00515165">
        <w:rPr>
          <w:rFonts w:ascii="Times New Roman" w:eastAsia="Arial Unicode MS" w:hAnsi="Times New Roman" w:cs="Times New Roman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515165" w:rsidRPr="00515165" w:rsidRDefault="00515165" w:rsidP="0000626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 или ее вымогательстве.</w:t>
      </w:r>
    </w:p>
    <w:p w:rsidR="00515165" w:rsidRPr="00AE518E" w:rsidRDefault="00515165" w:rsidP="0000626A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412FD2" w:rsidRDefault="00412FD2" w:rsidP="005151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2FD2" w:rsidRDefault="00412FD2" w:rsidP="005151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15165" w:rsidRPr="00515165" w:rsidRDefault="00515165" w:rsidP="005151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ЧТО СЛЕДУЕТ ПРЕДПРИНЯТЬ СРАЗУ ПОСЛЕ СВЕРШИВШЕГОСЯ </w:t>
      </w:r>
    </w:p>
    <w:p w:rsidR="00515165" w:rsidRPr="00515165" w:rsidRDefault="00515165" w:rsidP="005151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ФАКТА ВЫМОГАТЕЛЬСТВА</w:t>
      </w:r>
    </w:p>
    <w:p w:rsidR="00515165" w:rsidRPr="00515165" w:rsidRDefault="00515165" w:rsidP="0051516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515165" w:rsidRPr="00515165" w:rsidRDefault="00515165" w:rsidP="005151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Cs/>
          <w:sz w:val="28"/>
          <w:szCs w:val="28"/>
        </w:rPr>
        <w:t>В случае предложения или вымогательства взятки необходимо сообщить об этом в правоохранительные органы до передачи взятки</w:t>
      </w:r>
      <w:r w:rsidRPr="0051516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15165">
        <w:rPr>
          <w:rFonts w:ascii="Times New Roman" w:eastAsia="Calibri" w:hAnsi="Times New Roman" w:cs="Times New Roman"/>
          <w:sz w:val="28"/>
          <w:szCs w:val="28"/>
        </w:rPr>
        <w:t>чтобы передача взятки проходила под их контролем и имела своей целью задержание с поличным лица, заявившего такие требования.</w:t>
      </w:r>
    </w:p>
    <w:p w:rsidR="00515165" w:rsidRPr="00AE518E" w:rsidRDefault="00515165" w:rsidP="00515165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515165">
        <w:rPr>
          <w:rFonts w:ascii="Times New Roman" w:eastAsia="Arial Unicode MS" w:hAnsi="Times New Roman" w:cs="Times New Roman"/>
          <w:bCs/>
          <w:sz w:val="28"/>
          <w:szCs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</w:t>
      </w:r>
      <w:r w:rsidRPr="00AE518E">
        <w:rPr>
          <w:rFonts w:ascii="Times New Roman" w:eastAsia="Arial Unicode MS" w:hAnsi="Times New Roman" w:cs="Times New Roman"/>
          <w:bCs/>
          <w:sz w:val="18"/>
          <w:szCs w:val="18"/>
        </w:rPr>
        <w:t>.</w:t>
      </w:r>
    </w:p>
    <w:p w:rsidR="00515165" w:rsidRPr="00AE518E" w:rsidRDefault="00515165" w:rsidP="0051516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412FD2" w:rsidRDefault="00412FD2" w:rsidP="0051516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165" w:rsidRPr="00515165" w:rsidRDefault="00515165" w:rsidP="0051516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15165">
        <w:rPr>
          <w:rFonts w:ascii="Times New Roman" w:eastAsia="Arial Unicode MS" w:hAnsi="Times New Roman" w:cs="Times New Roman"/>
          <w:b/>
          <w:bCs/>
          <w:sz w:val="28"/>
          <w:szCs w:val="28"/>
        </w:rPr>
        <w:t>Телефоны доверия</w:t>
      </w:r>
    </w:p>
    <w:p w:rsidR="00515165" w:rsidRPr="00AE518E" w:rsidRDefault="00515165" w:rsidP="00515165">
      <w:pPr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5795"/>
      </w:tblGrid>
      <w:tr w:rsidR="00515165" w:rsidRPr="00AE518E" w:rsidTr="00D17F13">
        <w:tc>
          <w:tcPr>
            <w:tcW w:w="3776" w:type="dxa"/>
          </w:tcPr>
          <w:p w:rsidR="00515165" w:rsidRPr="0000626A" w:rsidRDefault="00515165" w:rsidP="00D17F1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0626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95" w:type="dxa"/>
          </w:tcPr>
          <w:p w:rsidR="00515165" w:rsidRPr="0000626A" w:rsidRDefault="00515165" w:rsidP="00D17F1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0626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Контактная информация</w:t>
            </w:r>
          </w:p>
        </w:tc>
      </w:tr>
      <w:tr w:rsidR="00515165" w:rsidRPr="00AE518E" w:rsidTr="00D17F13">
        <w:tc>
          <w:tcPr>
            <w:tcW w:w="3776" w:type="dxa"/>
          </w:tcPr>
          <w:p w:rsidR="00D17F13" w:rsidRPr="0000626A" w:rsidRDefault="00515165" w:rsidP="00D17F1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0626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Прокуратура </w:t>
            </w:r>
            <w:r w:rsidR="00D17F13" w:rsidRPr="0000626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Новосибирской области</w:t>
            </w:r>
          </w:p>
          <w:p w:rsidR="00515165" w:rsidRPr="0000626A" w:rsidRDefault="00515165" w:rsidP="00D17F1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5" w:type="dxa"/>
          </w:tcPr>
          <w:p w:rsidR="00515165" w:rsidRPr="0000626A" w:rsidRDefault="00D17F13" w:rsidP="00D17F1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00626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630099, г. Новосибирск, ул. Каменская, дом 20-а</w:t>
            </w:r>
            <w:r w:rsidRPr="00006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Телефон дежурного прокурора </w:t>
            </w:r>
            <w:r w:rsidRPr="0000626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210-28-15</w:t>
            </w:r>
            <w:r w:rsidRPr="00006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круглосуточный телефон «доверия» </w:t>
            </w:r>
            <w:r w:rsidRPr="0000626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223-44-29</w:t>
            </w:r>
            <w:r w:rsidRPr="00006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электронный адрес </w:t>
            </w:r>
            <w:hyperlink r:id="rId7" w:history="1">
              <w:r w:rsidRPr="000062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off@procrf-nso.ru</w:t>
              </w:r>
            </w:hyperlink>
            <w:r w:rsidRPr="00006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0626A" w:rsidRDefault="0000626A" w:rsidP="0051516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0626A" w:rsidRDefault="0000626A" w:rsidP="0051516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0626A" w:rsidRDefault="0000626A">
      <w:pPr>
        <w:rPr>
          <w:rFonts w:ascii="Times New Roman" w:eastAsia="Arial Unicode MS" w:hAnsi="Times New Roman" w:cs="Times New Roman"/>
          <w:b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sz w:val="18"/>
          <w:szCs w:val="18"/>
        </w:rPr>
        <w:br w:type="page"/>
      </w:r>
    </w:p>
    <w:p w:rsidR="0000626A" w:rsidRDefault="0000626A" w:rsidP="0051516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noProof/>
          <w:sz w:val="18"/>
          <w:szCs w:val="18"/>
        </w:rPr>
        <w:lastRenderedPageBreak/>
        <w:drawing>
          <wp:inline distT="0" distB="0" distL="0" distR="0">
            <wp:extent cx="4800600" cy="43355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wrze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33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6A" w:rsidRDefault="0000626A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65" w:rsidRPr="0000626A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26A">
        <w:rPr>
          <w:rFonts w:ascii="Times New Roman" w:hAnsi="Times New Roman" w:cs="Times New Roman"/>
          <w:b/>
          <w:sz w:val="32"/>
          <w:szCs w:val="32"/>
        </w:rPr>
        <w:t>Что могу сделать я против коррупции?</w:t>
      </w:r>
    </w:p>
    <w:p w:rsidR="00515165" w:rsidRPr="00685DF8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Коррупция не исчезнет до тех пор, пока мы не заставим ее исчезнуть. Поступайте правильно:</w:t>
      </w:r>
    </w:p>
    <w:p w:rsidR="00515165" w:rsidRPr="00685DF8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не давайте и не берите взятки;</w:t>
      </w:r>
    </w:p>
    <w:p w:rsidR="00515165" w:rsidRPr="00685DF8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старайтесь добиваться желаемых результатов на основе личной добропорядочности;</w:t>
      </w:r>
    </w:p>
    <w:p w:rsidR="00515165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предавайте гласности случаи коррупции.</w:t>
      </w:r>
    </w:p>
    <w:p w:rsidR="00412FD2" w:rsidRDefault="00412FD2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65" w:rsidRPr="0000626A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26A">
        <w:rPr>
          <w:rFonts w:ascii="Times New Roman" w:hAnsi="Times New Roman" w:cs="Times New Roman"/>
          <w:b/>
          <w:sz w:val="32"/>
          <w:szCs w:val="32"/>
        </w:rPr>
        <w:t>Вы также можете:</w:t>
      </w:r>
    </w:p>
    <w:p w:rsidR="00515165" w:rsidRPr="00685DF8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вести работу с правительством своей страны с целью побудить его изменить существующую систему и создать законы, которые бы защищали активных граждан, выступающих против коррупции;</w:t>
      </w:r>
    </w:p>
    <w:p w:rsidR="00515165" w:rsidRPr="00685DF8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писать об известных вам случаях коррупции в местные газеты;</w:t>
      </w:r>
    </w:p>
    <w:p w:rsidR="00515165" w:rsidRDefault="00515165" w:rsidP="0051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sz w:val="28"/>
          <w:szCs w:val="28"/>
        </w:rPr>
        <w:t>принимать участие в проводимых во всем мире многочисленных кампаниях по борьбе с коррупцией и в защиту благого правления.</w:t>
      </w:r>
    </w:p>
    <w:p w:rsidR="00515165" w:rsidRDefault="00515165" w:rsidP="00AE51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sectPr w:rsidR="00515165" w:rsidSect="005019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7"/>
    <w:rsid w:val="0000626A"/>
    <w:rsid w:val="00015D68"/>
    <w:rsid w:val="00080AE3"/>
    <w:rsid w:val="000E4235"/>
    <w:rsid w:val="00114665"/>
    <w:rsid w:val="00132C99"/>
    <w:rsid w:val="001F2E73"/>
    <w:rsid w:val="001F567F"/>
    <w:rsid w:val="002B46C7"/>
    <w:rsid w:val="00362DC7"/>
    <w:rsid w:val="003B58F7"/>
    <w:rsid w:val="00412FD2"/>
    <w:rsid w:val="004535E2"/>
    <w:rsid w:val="00501910"/>
    <w:rsid w:val="00515165"/>
    <w:rsid w:val="00642527"/>
    <w:rsid w:val="00673A46"/>
    <w:rsid w:val="00685DF8"/>
    <w:rsid w:val="006A54EE"/>
    <w:rsid w:val="006F5B9B"/>
    <w:rsid w:val="007E00D6"/>
    <w:rsid w:val="0084795E"/>
    <w:rsid w:val="00871A79"/>
    <w:rsid w:val="008A168A"/>
    <w:rsid w:val="008A27E7"/>
    <w:rsid w:val="00925603"/>
    <w:rsid w:val="009801CC"/>
    <w:rsid w:val="00A87D2C"/>
    <w:rsid w:val="00AE518E"/>
    <w:rsid w:val="00B63EAE"/>
    <w:rsid w:val="00D17F13"/>
    <w:rsid w:val="00D5580A"/>
    <w:rsid w:val="00D70BB3"/>
    <w:rsid w:val="00D8036B"/>
    <w:rsid w:val="00F6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F13"/>
    <w:rPr>
      <w:color w:val="176D9D"/>
      <w:sz w:val="24"/>
      <w:szCs w:val="24"/>
      <w:u w:val="single"/>
    </w:rPr>
  </w:style>
  <w:style w:type="character" w:styleId="a6">
    <w:name w:val="Strong"/>
    <w:basedOn w:val="a0"/>
    <w:uiPriority w:val="22"/>
    <w:qFormat/>
    <w:rsid w:val="00D17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F13"/>
    <w:rPr>
      <w:color w:val="176D9D"/>
      <w:sz w:val="24"/>
      <w:szCs w:val="24"/>
      <w:u w:val="single"/>
    </w:rPr>
  </w:style>
  <w:style w:type="character" w:styleId="a6">
    <w:name w:val="Strong"/>
    <w:basedOn w:val="a0"/>
    <w:uiPriority w:val="22"/>
    <w:qFormat/>
    <w:rsid w:val="00D1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ff@procrf-n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CA81-3B34-4FBB-8C4B-3B38CE8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2014-09-09T07:18:00Z</cp:lastPrinted>
  <dcterms:created xsi:type="dcterms:W3CDTF">2015-10-22T03:11:00Z</dcterms:created>
  <dcterms:modified xsi:type="dcterms:W3CDTF">2015-10-22T03:11:00Z</dcterms:modified>
</cp:coreProperties>
</file>